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proofErr w:type="gramStart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</w:t>
            </w:r>
            <w:proofErr w:type="gramEnd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Neut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胺酸丙酮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酸轉胺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麩胺酸苯醋酸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磷酯脢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  <w:proofErr w:type="gram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  <w:proofErr w:type="gram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hsC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HBsAg</w:t>
            </w:r>
            <w:proofErr w:type="spellEnd"/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proofErr w:type="gramStart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</w:t>
            </w:r>
            <w:proofErr w:type="gramEnd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Vit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 xml:space="preserve">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  <w:proofErr w:type="gramEnd"/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</w:t>
            </w:r>
            <w:proofErr w:type="gramStart"/>
            <w:r w:rsidRPr="004F4FE3">
              <w:rPr>
                <w:rFonts w:ascii="Arial" w:eastAsia="標楷體" w:hAnsi="Arial" w:cs="Arial"/>
              </w:rPr>
              <w:t>腦磁振造</w:t>
            </w:r>
            <w:proofErr w:type="gramEnd"/>
            <w:r w:rsidRPr="004F4FE3">
              <w:rPr>
                <w:rFonts w:ascii="Arial" w:eastAsia="標楷體" w:hAnsi="Arial" w:cs="Arial"/>
              </w:rPr>
              <w:t>影或全脊椎</w:t>
            </w:r>
            <w:proofErr w:type="gramStart"/>
            <w:r w:rsidRPr="004F4FE3">
              <w:rPr>
                <w:rFonts w:ascii="Arial" w:eastAsia="標楷體" w:hAnsi="Arial" w:cs="Arial"/>
              </w:rPr>
              <w:t>磁振造影</w:t>
            </w:r>
            <w:proofErr w:type="gramEnd"/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</w:t>
            </w:r>
            <w:proofErr w:type="gramStart"/>
            <w:r w:rsidRPr="004F4FE3">
              <w:rPr>
                <w:rFonts w:ascii="Arial" w:eastAsia="標楷體" w:hAnsi="Arial" w:cs="Arial"/>
              </w:rPr>
              <w:t>一</w:t>
            </w:r>
            <w:proofErr w:type="gramEnd"/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proofErr w:type="gramStart"/>
                            <w:r w:rsidRPr="00BF1AD0">
                              <w:rPr>
                                <w:rFonts w:eastAsia="標楷體" w:hAnsi="標楷體"/>
                              </w:rPr>
                              <w:t>加選低輻射</w:t>
                            </w:r>
                            <w:proofErr w:type="gramEnd"/>
                            <w:r w:rsidRPr="00BF1AD0">
                              <w:rPr>
                                <w:rFonts w:eastAsia="標楷體" w:hAnsi="標楷體"/>
                              </w:rPr>
                              <w:t>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36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proofErr w:type="gramStart"/>
                      <w:r w:rsidRPr="00BF1AD0">
                        <w:rPr>
                          <w:rFonts w:eastAsia="標楷體" w:hAnsi="標楷體"/>
                        </w:rPr>
                        <w:t>加選低輻射</w:t>
                      </w:r>
                      <w:proofErr w:type="gramEnd"/>
                      <w:r w:rsidRPr="00BF1AD0">
                        <w:rPr>
                          <w:rFonts w:eastAsia="標楷體" w:hAnsi="標楷體"/>
                        </w:rPr>
                        <w:t>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7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C9" w:rsidRDefault="006942C9">
      <w:r>
        <w:separator/>
      </w:r>
    </w:p>
  </w:endnote>
  <w:endnote w:type="continuationSeparator" w:id="0">
    <w:p w:rsidR="006942C9" w:rsidRDefault="0069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C9" w:rsidRDefault="006942C9">
      <w:r>
        <w:separator/>
      </w:r>
    </w:p>
  </w:footnote>
  <w:footnote w:type="continuationSeparator" w:id="0">
    <w:p w:rsidR="006942C9" w:rsidRDefault="0069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 w15:restartNumberingAfterBreak="0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942C9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2D4A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52FB1A-F02D-43E5-A3A3-ED1AD233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2019-04-02T08:10:00Z</cp:lastPrinted>
  <dcterms:created xsi:type="dcterms:W3CDTF">2019-04-11T01:38:00Z</dcterms:created>
  <dcterms:modified xsi:type="dcterms:W3CDTF">2019-04-11T01:38:00Z</dcterms:modified>
</cp:coreProperties>
</file>